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6A2B" w14:textId="7911F16F" w:rsidR="0076408D" w:rsidRDefault="00DA209D">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FE55A2">
        <w:rPr>
          <w:highlight w:val="yellow"/>
          <w:lang w:val="en-GB"/>
        </w:rPr>
        <w:t>Add your address here</w:t>
      </w:r>
    </w:p>
    <w:p w14:paraId="01C56B40" w14:textId="77777777" w:rsidR="00DA209D" w:rsidRDefault="00DA209D">
      <w:pPr>
        <w:rPr>
          <w:lang w:val="en-GB"/>
        </w:rPr>
      </w:pPr>
    </w:p>
    <w:p w14:paraId="0F769DB3" w14:textId="7424A124" w:rsidR="00DA209D" w:rsidRDefault="00DA209D">
      <w:pPr>
        <w:rPr>
          <w:lang w:val="en-GB"/>
        </w:rPr>
      </w:pPr>
      <w:r w:rsidRPr="00FE55A2">
        <w:rPr>
          <w:highlight w:val="yellow"/>
          <w:lang w:val="en-GB"/>
        </w:rPr>
        <w:t>Add Prospective Parliamentary Candidate’s address here</w:t>
      </w:r>
    </w:p>
    <w:p w14:paraId="075AEAC9" w14:textId="77777777" w:rsidR="00DA209D" w:rsidRDefault="00DA209D">
      <w:pPr>
        <w:rPr>
          <w:lang w:val="en-GB"/>
        </w:rPr>
      </w:pPr>
    </w:p>
    <w:p w14:paraId="4F994256" w14:textId="77777777" w:rsidR="00DA209D" w:rsidRDefault="00DA209D">
      <w:pPr>
        <w:rPr>
          <w:lang w:val="en-GB"/>
        </w:rPr>
      </w:pPr>
    </w:p>
    <w:p w14:paraId="3E1EC9BB" w14:textId="6CFF62AC" w:rsidR="00DA209D" w:rsidRDefault="00FE55A2">
      <w:pPr>
        <w:rPr>
          <w:lang w:val="en-GB"/>
        </w:rPr>
      </w:pPr>
      <w:r w:rsidRPr="00FE55A2">
        <w:rPr>
          <w:highlight w:val="yellow"/>
          <w:lang w:val="en-GB"/>
        </w:rPr>
        <w:t>DATE</w:t>
      </w:r>
    </w:p>
    <w:p w14:paraId="059F82D8" w14:textId="77777777" w:rsidR="00DA209D" w:rsidRDefault="00DA209D">
      <w:pPr>
        <w:rPr>
          <w:lang w:val="en-GB"/>
        </w:rPr>
      </w:pPr>
    </w:p>
    <w:p w14:paraId="54450BFE" w14:textId="7CDC9C35" w:rsidR="00DA209D" w:rsidRDefault="00DA209D">
      <w:pPr>
        <w:rPr>
          <w:lang w:val="en-GB"/>
        </w:rPr>
      </w:pPr>
      <w:r>
        <w:rPr>
          <w:lang w:val="en-GB"/>
        </w:rPr>
        <w:t xml:space="preserve">Dear </w:t>
      </w:r>
      <w:proofErr w:type="spellStart"/>
      <w:r w:rsidRPr="00DA209D">
        <w:rPr>
          <w:highlight w:val="yellow"/>
          <w:lang w:val="en-GB"/>
        </w:rPr>
        <w:t>xxxxxxx</w:t>
      </w:r>
      <w:proofErr w:type="spellEnd"/>
      <w:r>
        <w:rPr>
          <w:lang w:val="en-GB"/>
        </w:rPr>
        <w:t xml:space="preserve"> </w:t>
      </w:r>
    </w:p>
    <w:p w14:paraId="58DCCEF1" w14:textId="77777777" w:rsidR="00DA209D" w:rsidRDefault="00DA209D">
      <w:pPr>
        <w:rPr>
          <w:lang w:val="en-GB"/>
        </w:rPr>
      </w:pPr>
    </w:p>
    <w:p w14:paraId="4067346F" w14:textId="367A5659" w:rsidR="00DA209D" w:rsidRDefault="00DA209D" w:rsidP="00DA209D">
      <w:pPr>
        <w:jc w:val="both"/>
        <w:rPr>
          <w:lang w:val="en-GB"/>
        </w:rPr>
      </w:pPr>
      <w:r>
        <w:rPr>
          <w:lang w:val="en-GB"/>
        </w:rPr>
        <w:t>I am writing to ask for your commitment to support the Video Games Expenditure Credit and the introduction of an Independent Games Tax Credit should you be elected to Parliament at the General Election on 4</w:t>
      </w:r>
      <w:r w:rsidRPr="00DA209D">
        <w:rPr>
          <w:vertAlign w:val="superscript"/>
          <w:lang w:val="en-GB"/>
        </w:rPr>
        <w:t>th</w:t>
      </w:r>
      <w:r>
        <w:rPr>
          <w:lang w:val="en-GB"/>
        </w:rPr>
        <w:t xml:space="preserve"> July 2024. </w:t>
      </w:r>
    </w:p>
    <w:p w14:paraId="191DE52C" w14:textId="77777777" w:rsidR="00DA209D" w:rsidRDefault="00DA209D">
      <w:pPr>
        <w:rPr>
          <w:lang w:val="en-GB"/>
        </w:rPr>
      </w:pPr>
    </w:p>
    <w:p w14:paraId="560E5A9D" w14:textId="3FCB72C9" w:rsidR="0097372C" w:rsidRDefault="00DA209D" w:rsidP="00DA209D">
      <w:pPr>
        <w:jc w:val="both"/>
        <w:rPr>
          <w:rFonts w:cstheme="minorHAnsi"/>
          <w:color w:val="000000"/>
        </w:rPr>
      </w:pPr>
      <w:r w:rsidRPr="00895923">
        <w:rPr>
          <w:rFonts w:cstheme="minorHAnsi"/>
          <w:color w:val="000000"/>
        </w:rPr>
        <w:t xml:space="preserve">The video games industry is one of the sectors that the next Government and Parliament should aim to promote over years ahead. </w:t>
      </w:r>
      <w:r>
        <w:rPr>
          <w:rFonts w:cstheme="minorHAnsi"/>
          <w:color w:val="000000"/>
        </w:rPr>
        <w:t xml:space="preserve">Research by </w:t>
      </w:r>
      <w:hyperlink r:id="rId6" w:history="1">
        <w:r w:rsidRPr="004E1B31">
          <w:rPr>
            <w:rStyle w:val="Hyperlink"/>
            <w:rFonts w:cstheme="minorHAnsi"/>
          </w:rPr>
          <w:t>TIGA</w:t>
        </w:r>
      </w:hyperlink>
      <w:r>
        <w:rPr>
          <w:rFonts w:cstheme="minorHAnsi"/>
          <w:color w:val="000000"/>
        </w:rPr>
        <w:t>, the trade association representing the UK video games industry, show</w:t>
      </w:r>
      <w:r w:rsidR="0097372C">
        <w:rPr>
          <w:rFonts w:cstheme="minorHAnsi"/>
          <w:color w:val="000000"/>
        </w:rPr>
        <w:t>s</w:t>
      </w:r>
      <w:r>
        <w:rPr>
          <w:rFonts w:cstheme="minorHAnsi"/>
          <w:color w:val="000000"/>
        </w:rPr>
        <w:t xml:space="preserve"> that t</w:t>
      </w:r>
      <w:r w:rsidRPr="00895923">
        <w:rPr>
          <w:rFonts w:cstheme="minorHAnsi"/>
          <w:color w:val="000000"/>
        </w:rPr>
        <w:t>he UK video games industry employs over 2</w:t>
      </w:r>
      <w:r>
        <w:rPr>
          <w:rFonts w:cstheme="minorHAnsi"/>
          <w:color w:val="000000"/>
        </w:rPr>
        <w:t>5</w:t>
      </w:r>
      <w:r w:rsidRPr="00895923">
        <w:rPr>
          <w:rFonts w:cstheme="minorHAnsi"/>
          <w:color w:val="000000"/>
        </w:rPr>
        <w:t>,000 full time development staff (</w:t>
      </w:r>
      <w:r>
        <w:rPr>
          <w:rFonts w:cstheme="minorHAnsi"/>
          <w:color w:val="000000"/>
        </w:rPr>
        <w:t>i</w:t>
      </w:r>
      <w:r w:rsidRPr="00895923">
        <w:rPr>
          <w:rFonts w:cstheme="minorHAnsi"/>
          <w:color w:val="000000"/>
        </w:rPr>
        <w:t>ncluding freelancers) in 1,801 studios</w:t>
      </w:r>
      <w:r w:rsidR="0097372C">
        <w:rPr>
          <w:rFonts w:cstheme="minorHAnsi"/>
          <w:color w:val="000000"/>
        </w:rPr>
        <w:t>.</w:t>
      </w:r>
    </w:p>
    <w:p w14:paraId="052AF1C9" w14:textId="77777777" w:rsidR="0097372C" w:rsidRDefault="0097372C" w:rsidP="00DA209D">
      <w:pPr>
        <w:jc w:val="both"/>
        <w:rPr>
          <w:rFonts w:cstheme="minorHAnsi"/>
          <w:color w:val="000000"/>
        </w:rPr>
      </w:pPr>
    </w:p>
    <w:p w14:paraId="6B49BA33" w14:textId="5C452B84" w:rsidR="00DA209D" w:rsidRDefault="00DA209D" w:rsidP="00DA209D">
      <w:pPr>
        <w:jc w:val="both"/>
        <w:rPr>
          <w:rFonts w:cstheme="minorHAnsi"/>
          <w:color w:val="000000" w:themeColor="text1"/>
        </w:rPr>
      </w:pPr>
      <w:r w:rsidRPr="00B45F5E">
        <w:rPr>
          <w:rFonts w:cstheme="minorHAnsi"/>
          <w:color w:val="000000"/>
        </w:rPr>
        <w:t>The sector provides high skilled employment</w:t>
      </w:r>
      <w:r>
        <w:rPr>
          <w:rFonts w:cstheme="minorHAnsi"/>
          <w:color w:val="000000"/>
        </w:rPr>
        <w:t xml:space="preserve">, </w:t>
      </w:r>
      <w:r w:rsidRPr="00B45F5E">
        <w:rPr>
          <w:rFonts w:cstheme="minorHAnsi"/>
          <w:color w:val="000000"/>
        </w:rPr>
        <w:t>supports economic growth in clusters throughout the UK</w:t>
      </w:r>
      <w:r>
        <w:rPr>
          <w:rFonts w:cstheme="minorHAnsi"/>
          <w:color w:val="000000"/>
        </w:rPr>
        <w:t xml:space="preserve"> and is export focused. </w:t>
      </w:r>
      <w:r>
        <w:rPr>
          <w:rFonts w:cstheme="minorHAnsi"/>
          <w:color w:val="000000" w:themeColor="text1"/>
        </w:rPr>
        <w:t>In addition, o</w:t>
      </w:r>
      <w:r w:rsidRPr="00B45F5E">
        <w:rPr>
          <w:rFonts w:cstheme="minorHAnsi"/>
          <w:color w:val="000000" w:themeColor="text1"/>
        </w:rPr>
        <w:t xml:space="preserve">ur video games development sector is supported by 259 companies that provide </w:t>
      </w:r>
      <w:r>
        <w:rPr>
          <w:rFonts w:cstheme="minorHAnsi"/>
          <w:color w:val="000000" w:themeColor="text1"/>
        </w:rPr>
        <w:t xml:space="preserve">it with </w:t>
      </w:r>
      <w:r w:rsidRPr="00B45F5E">
        <w:rPr>
          <w:rFonts w:cstheme="minorHAnsi"/>
          <w:color w:val="000000" w:themeColor="text1"/>
        </w:rPr>
        <w:t xml:space="preserve">key services, including QA, </w:t>
      </w:r>
      <w:proofErr w:type="spellStart"/>
      <w:r w:rsidRPr="00B45F5E">
        <w:rPr>
          <w:rFonts w:cstheme="minorHAnsi"/>
          <w:color w:val="000000" w:themeColor="text1"/>
        </w:rPr>
        <w:t>locali</w:t>
      </w:r>
      <w:r>
        <w:rPr>
          <w:rFonts w:cstheme="minorHAnsi"/>
          <w:color w:val="000000" w:themeColor="text1"/>
        </w:rPr>
        <w:t>s</w:t>
      </w:r>
      <w:r w:rsidRPr="00B45F5E">
        <w:rPr>
          <w:rFonts w:cstheme="minorHAnsi"/>
          <w:color w:val="000000" w:themeColor="text1"/>
        </w:rPr>
        <w:t>ation</w:t>
      </w:r>
      <w:proofErr w:type="spellEnd"/>
      <w:r w:rsidRPr="00B45F5E">
        <w:rPr>
          <w:rFonts w:cstheme="minorHAnsi"/>
          <w:color w:val="000000" w:themeColor="text1"/>
        </w:rPr>
        <w:t>, music, audio, script, art and animation. These companies employ 3,200 highly skilled people.</w:t>
      </w:r>
    </w:p>
    <w:p w14:paraId="601BE02A" w14:textId="77777777" w:rsidR="00DA209D" w:rsidRDefault="00DA209D" w:rsidP="00DA209D">
      <w:pPr>
        <w:jc w:val="both"/>
        <w:rPr>
          <w:rFonts w:cstheme="minorHAnsi"/>
          <w:color w:val="000000" w:themeColor="text1"/>
        </w:rPr>
      </w:pPr>
    </w:p>
    <w:p w14:paraId="74FF0825" w14:textId="19C532AC" w:rsidR="00DA209D" w:rsidRDefault="00DA209D" w:rsidP="00DA209D">
      <w:pPr>
        <w:jc w:val="both"/>
        <w:rPr>
          <w:rFonts w:cstheme="minorHAnsi"/>
          <w:color w:val="000000" w:themeColor="text1"/>
        </w:rPr>
      </w:pPr>
      <w:r>
        <w:rPr>
          <w:rFonts w:cstheme="minorHAnsi"/>
          <w:color w:val="000000" w:themeColor="text1"/>
        </w:rPr>
        <w:t xml:space="preserve">Our sector faces important challenges. Many smaller studios struggle to access finance. Additionally, </w:t>
      </w:r>
      <w:r w:rsidRPr="00575F01">
        <w:rPr>
          <w:rFonts w:cstheme="minorHAnsi"/>
        </w:rPr>
        <w:t xml:space="preserve">Canada, France, Ireland, Belgium, Australia, New Zealand and at least 15 states in the USA offer </w:t>
      </w:r>
      <w:r w:rsidR="00BE3B4F">
        <w:rPr>
          <w:rFonts w:cstheme="minorHAnsi"/>
        </w:rPr>
        <w:t xml:space="preserve">generous </w:t>
      </w:r>
      <w:r w:rsidRPr="00575F01">
        <w:rPr>
          <w:rFonts w:cstheme="minorHAnsi"/>
        </w:rPr>
        <w:t>tax reliefs</w:t>
      </w:r>
      <w:r>
        <w:rPr>
          <w:rFonts w:cstheme="minorHAnsi"/>
        </w:rPr>
        <w:t xml:space="preserve"> for games production. </w:t>
      </w:r>
    </w:p>
    <w:p w14:paraId="76870D1C" w14:textId="77777777" w:rsidR="00DA209D" w:rsidRDefault="00DA209D">
      <w:pPr>
        <w:rPr>
          <w:lang w:val="en-GB"/>
        </w:rPr>
      </w:pPr>
    </w:p>
    <w:p w14:paraId="6B45D442" w14:textId="5457AA88" w:rsidR="00BE3B4F" w:rsidRDefault="00BE3B4F" w:rsidP="00DA209D">
      <w:pPr>
        <w:jc w:val="both"/>
        <w:rPr>
          <w:rFonts w:cstheme="minorHAnsi"/>
        </w:rPr>
      </w:pPr>
      <w:r>
        <w:rPr>
          <w:rFonts w:cstheme="minorHAnsi"/>
        </w:rPr>
        <w:t>We need to</w:t>
      </w:r>
      <w:r w:rsidR="00DA209D">
        <w:rPr>
          <w:rFonts w:cstheme="minorHAnsi"/>
        </w:rPr>
        <w:t xml:space="preserve"> retain</w:t>
      </w:r>
      <w:r>
        <w:rPr>
          <w:rFonts w:cstheme="minorHAnsi"/>
        </w:rPr>
        <w:t xml:space="preserve"> and enhance</w:t>
      </w:r>
      <w:r w:rsidR="00DA209D">
        <w:rPr>
          <w:rFonts w:cstheme="minorHAnsi"/>
        </w:rPr>
        <w:t xml:space="preserve"> the existing V</w:t>
      </w:r>
      <w:r>
        <w:rPr>
          <w:rFonts w:cstheme="minorHAnsi"/>
        </w:rPr>
        <w:t xml:space="preserve">ideo Games Expenditure Credit and </w:t>
      </w:r>
      <w:r w:rsidR="00DA209D">
        <w:rPr>
          <w:rFonts w:cstheme="minorHAnsi"/>
        </w:rPr>
        <w:t xml:space="preserve">augment it with an Independent Games Tax Credit </w:t>
      </w:r>
      <w:r>
        <w:rPr>
          <w:rFonts w:cstheme="minorHAnsi"/>
        </w:rPr>
        <w:t xml:space="preserve">to enable our industry to compete on a level playing field against our overseas competitors and to drive economic growth. </w:t>
      </w:r>
      <w:r w:rsidR="00432C86">
        <w:rPr>
          <w:rFonts w:cstheme="minorHAnsi"/>
        </w:rPr>
        <w:t xml:space="preserve">The Video Games Expenditure Credit currently provides for a 34 per cent rate of relief on 80 per cent of qualifying expenditure. This should be made more generous. </w:t>
      </w:r>
      <w:r w:rsidR="00BB277E">
        <w:rPr>
          <w:rFonts w:cstheme="minorHAnsi"/>
        </w:rPr>
        <w:t>TIGA’s</w:t>
      </w:r>
      <w:r w:rsidR="00432C86">
        <w:rPr>
          <w:rFonts w:cstheme="minorHAnsi"/>
        </w:rPr>
        <w:t xml:space="preserve"> proposed </w:t>
      </w:r>
      <w:hyperlink r:id="rId7" w:history="1">
        <w:r w:rsidR="00432C86" w:rsidRPr="00432C86">
          <w:rPr>
            <w:rStyle w:val="Hyperlink"/>
            <w:rFonts w:cstheme="minorHAnsi"/>
          </w:rPr>
          <w:t>Independent Games Tax Credit</w:t>
        </w:r>
      </w:hyperlink>
      <w:r w:rsidR="00432C86">
        <w:rPr>
          <w:rFonts w:cstheme="minorHAnsi"/>
        </w:rPr>
        <w:t xml:space="preserve"> would provide a 53 per cent rate of relief on 80 per cent of qualifying costs on budgets of less than £15 million. </w:t>
      </w:r>
    </w:p>
    <w:p w14:paraId="49AB5471" w14:textId="77777777" w:rsidR="00BE3B4F" w:rsidRDefault="00BE3B4F" w:rsidP="00DA209D">
      <w:pPr>
        <w:jc w:val="both"/>
        <w:rPr>
          <w:rFonts w:cstheme="minorHAnsi"/>
        </w:rPr>
      </w:pPr>
    </w:p>
    <w:p w14:paraId="56796911" w14:textId="194316FB" w:rsidR="00BE3B4F" w:rsidRDefault="00BE3B4F" w:rsidP="00DA209D">
      <w:pPr>
        <w:jc w:val="both"/>
        <w:rPr>
          <w:rFonts w:cstheme="minorHAnsi"/>
        </w:rPr>
      </w:pPr>
      <w:r>
        <w:rPr>
          <w:rFonts w:cstheme="minorHAnsi"/>
        </w:rPr>
        <w:t xml:space="preserve">Can you confirm that you will work to retain and improve the existing Video Games Expenditure Credit and support the introduction of an Independent Games Tax Credit and so create high skill jobs, high technology businesses and economic growth throughout the UK? </w:t>
      </w:r>
    </w:p>
    <w:p w14:paraId="3D0EE5DC" w14:textId="77777777" w:rsidR="00BE3B4F" w:rsidRDefault="00BE3B4F" w:rsidP="00DA209D">
      <w:pPr>
        <w:jc w:val="both"/>
        <w:rPr>
          <w:rFonts w:cstheme="minorHAnsi"/>
        </w:rPr>
      </w:pPr>
    </w:p>
    <w:p w14:paraId="0EFA2E28" w14:textId="5BE70D69" w:rsidR="00BE3B4F" w:rsidRDefault="00BE3B4F" w:rsidP="00DA209D">
      <w:pPr>
        <w:jc w:val="both"/>
        <w:rPr>
          <w:rFonts w:cstheme="minorHAnsi"/>
        </w:rPr>
      </w:pPr>
      <w:r>
        <w:rPr>
          <w:rFonts w:cstheme="minorHAnsi"/>
        </w:rPr>
        <w:t>I look forward to your reply.</w:t>
      </w:r>
    </w:p>
    <w:p w14:paraId="254CED59" w14:textId="77777777" w:rsidR="00BE3B4F" w:rsidRDefault="00BE3B4F" w:rsidP="00DA209D">
      <w:pPr>
        <w:jc w:val="both"/>
        <w:rPr>
          <w:rFonts w:cstheme="minorHAnsi"/>
        </w:rPr>
      </w:pPr>
    </w:p>
    <w:p w14:paraId="1811EF17" w14:textId="19347178" w:rsidR="00DA209D" w:rsidRPr="0097372C" w:rsidRDefault="00BE3B4F" w:rsidP="0097372C">
      <w:pPr>
        <w:jc w:val="both"/>
        <w:rPr>
          <w:rFonts w:cstheme="minorHAnsi"/>
        </w:rPr>
      </w:pPr>
      <w:r>
        <w:rPr>
          <w:rFonts w:cstheme="minorHAnsi"/>
        </w:rPr>
        <w:t xml:space="preserve">Yours sincerely, </w:t>
      </w:r>
    </w:p>
    <w:p w14:paraId="565810AC" w14:textId="77777777" w:rsidR="00DA209D" w:rsidRPr="00DA209D" w:rsidRDefault="00DA209D">
      <w:pPr>
        <w:rPr>
          <w:lang w:val="en-GB"/>
        </w:rPr>
      </w:pPr>
    </w:p>
    <w:sectPr w:rsidR="00DA209D" w:rsidRPr="00DA20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D4CE" w14:textId="77777777" w:rsidR="008344C4" w:rsidRDefault="008344C4" w:rsidP="00DA209D">
      <w:r>
        <w:separator/>
      </w:r>
    </w:p>
  </w:endnote>
  <w:endnote w:type="continuationSeparator" w:id="0">
    <w:p w14:paraId="3153A810" w14:textId="77777777" w:rsidR="008344C4" w:rsidRDefault="008344C4" w:rsidP="00DA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8884" w14:textId="77777777" w:rsidR="008344C4" w:rsidRDefault="008344C4" w:rsidP="00DA209D">
      <w:r>
        <w:separator/>
      </w:r>
    </w:p>
  </w:footnote>
  <w:footnote w:type="continuationSeparator" w:id="0">
    <w:p w14:paraId="6C8D8DDA" w14:textId="77777777" w:rsidR="008344C4" w:rsidRDefault="008344C4" w:rsidP="00DA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9D"/>
    <w:rsid w:val="00423CBB"/>
    <w:rsid w:val="00432C86"/>
    <w:rsid w:val="00475E18"/>
    <w:rsid w:val="004A1174"/>
    <w:rsid w:val="004E1B31"/>
    <w:rsid w:val="0056457F"/>
    <w:rsid w:val="006F2B4E"/>
    <w:rsid w:val="0072349E"/>
    <w:rsid w:val="0076408D"/>
    <w:rsid w:val="00777ABB"/>
    <w:rsid w:val="007F15BE"/>
    <w:rsid w:val="008344C4"/>
    <w:rsid w:val="00880975"/>
    <w:rsid w:val="008D1278"/>
    <w:rsid w:val="008E09B6"/>
    <w:rsid w:val="0097372C"/>
    <w:rsid w:val="00A7026D"/>
    <w:rsid w:val="00AB6CBA"/>
    <w:rsid w:val="00BB277E"/>
    <w:rsid w:val="00BE3B4F"/>
    <w:rsid w:val="00DA209D"/>
    <w:rsid w:val="00DC2D8C"/>
    <w:rsid w:val="00DF4F54"/>
    <w:rsid w:val="00FB10E0"/>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A81774"/>
  <w15:chartTrackingRefBased/>
  <w15:docId w15:val="{C35E8672-64A2-384D-8B9F-20B3872C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0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0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0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0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09D"/>
    <w:rPr>
      <w:rFonts w:eastAsiaTheme="majorEastAsia" w:cstheme="majorBidi"/>
      <w:color w:val="272727" w:themeColor="text1" w:themeTint="D8"/>
    </w:rPr>
  </w:style>
  <w:style w:type="paragraph" w:styleId="Title">
    <w:name w:val="Title"/>
    <w:basedOn w:val="Normal"/>
    <w:next w:val="Normal"/>
    <w:link w:val="TitleChar"/>
    <w:uiPriority w:val="10"/>
    <w:qFormat/>
    <w:rsid w:val="00DA20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0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0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209D"/>
    <w:rPr>
      <w:i/>
      <w:iCs/>
      <w:color w:val="404040" w:themeColor="text1" w:themeTint="BF"/>
    </w:rPr>
  </w:style>
  <w:style w:type="paragraph" w:styleId="ListParagraph">
    <w:name w:val="List Paragraph"/>
    <w:basedOn w:val="Normal"/>
    <w:uiPriority w:val="34"/>
    <w:qFormat/>
    <w:rsid w:val="00DA209D"/>
    <w:pPr>
      <w:ind w:left="720"/>
      <w:contextualSpacing/>
    </w:pPr>
  </w:style>
  <w:style w:type="character" w:styleId="IntenseEmphasis">
    <w:name w:val="Intense Emphasis"/>
    <w:basedOn w:val="DefaultParagraphFont"/>
    <w:uiPriority w:val="21"/>
    <w:qFormat/>
    <w:rsid w:val="00DA209D"/>
    <w:rPr>
      <w:i/>
      <w:iCs/>
      <w:color w:val="0F4761" w:themeColor="accent1" w:themeShade="BF"/>
    </w:rPr>
  </w:style>
  <w:style w:type="paragraph" w:styleId="IntenseQuote">
    <w:name w:val="Intense Quote"/>
    <w:basedOn w:val="Normal"/>
    <w:next w:val="Normal"/>
    <w:link w:val="IntenseQuoteChar"/>
    <w:uiPriority w:val="30"/>
    <w:qFormat/>
    <w:rsid w:val="00DA2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09D"/>
    <w:rPr>
      <w:i/>
      <w:iCs/>
      <w:color w:val="0F4761" w:themeColor="accent1" w:themeShade="BF"/>
    </w:rPr>
  </w:style>
  <w:style w:type="character" w:styleId="IntenseReference">
    <w:name w:val="Intense Reference"/>
    <w:basedOn w:val="DefaultParagraphFont"/>
    <w:uiPriority w:val="32"/>
    <w:qFormat/>
    <w:rsid w:val="00DA209D"/>
    <w:rPr>
      <w:b/>
      <w:bCs/>
      <w:smallCaps/>
      <w:color w:val="0F4761" w:themeColor="accent1" w:themeShade="BF"/>
      <w:spacing w:val="5"/>
    </w:rPr>
  </w:style>
  <w:style w:type="paragraph" w:styleId="FootnoteText">
    <w:name w:val="footnote text"/>
    <w:aliases w:val=" Char"/>
    <w:basedOn w:val="Normal"/>
    <w:link w:val="FootnoteTextChar"/>
    <w:uiPriority w:val="99"/>
    <w:unhideWhenUsed/>
    <w:qFormat/>
    <w:rsid w:val="00DA209D"/>
    <w:pPr>
      <w:spacing w:after="200" w:line="276" w:lineRule="auto"/>
    </w:pPr>
    <w:rPr>
      <w:rFonts w:ascii="Calibri" w:eastAsia="Calibri" w:hAnsi="Calibri" w:cs="Times New Roman"/>
      <w:kern w:val="0"/>
      <w:sz w:val="20"/>
      <w:szCs w:val="20"/>
      <w:lang w:val="en-GB"/>
      <w14:ligatures w14:val="none"/>
    </w:rPr>
  </w:style>
  <w:style w:type="character" w:customStyle="1" w:styleId="FootnoteTextChar">
    <w:name w:val="Footnote Text Char"/>
    <w:aliases w:val=" Char Char"/>
    <w:basedOn w:val="DefaultParagraphFont"/>
    <w:link w:val="FootnoteText"/>
    <w:uiPriority w:val="99"/>
    <w:rsid w:val="00DA209D"/>
    <w:rPr>
      <w:rFonts w:ascii="Calibri" w:eastAsia="Calibri" w:hAnsi="Calibri" w:cs="Times New Roman"/>
      <w:kern w:val="0"/>
      <w:sz w:val="20"/>
      <w:szCs w:val="20"/>
      <w:lang w:val="en-GB"/>
      <w14:ligatures w14:val="none"/>
    </w:rPr>
  </w:style>
  <w:style w:type="character" w:styleId="FootnoteReference">
    <w:name w:val="footnote reference"/>
    <w:aliases w:val="Footnote,FR + (Complex) Arial,(Latin) 9 pt,(Complex) 10 pt + (Compl...,Footnote symbol"/>
    <w:basedOn w:val="DefaultParagraphFont"/>
    <w:uiPriority w:val="99"/>
    <w:unhideWhenUsed/>
    <w:rsid w:val="00DA209D"/>
    <w:rPr>
      <w:vertAlign w:val="superscript"/>
    </w:rPr>
  </w:style>
  <w:style w:type="character" w:styleId="Hyperlink">
    <w:name w:val="Hyperlink"/>
    <w:basedOn w:val="DefaultParagraphFont"/>
    <w:uiPriority w:val="99"/>
    <w:unhideWhenUsed/>
    <w:rsid w:val="00432C86"/>
    <w:rPr>
      <w:color w:val="467886" w:themeColor="hyperlink"/>
      <w:u w:val="single"/>
    </w:rPr>
  </w:style>
  <w:style w:type="character" w:styleId="UnresolvedMention">
    <w:name w:val="Unresolved Mention"/>
    <w:basedOn w:val="DefaultParagraphFont"/>
    <w:uiPriority w:val="99"/>
    <w:semiHidden/>
    <w:unhideWhenUsed/>
    <w:rsid w:val="00432C86"/>
    <w:rPr>
      <w:color w:val="605E5C"/>
      <w:shd w:val="clear" w:color="auto" w:fill="E1DFDD"/>
    </w:rPr>
  </w:style>
  <w:style w:type="paragraph" w:styleId="Revision">
    <w:name w:val="Revision"/>
    <w:hidden/>
    <w:uiPriority w:val="99"/>
    <w:semiHidden/>
    <w:rsid w:val="0097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ga.org/news/tiga-set-agenda-for-the-uk-games-industry-with-2024-manifes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ga.org/news/tiga-set-agenda-for-the-uk-games-industry-with-2024-manifest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Wilson</dc:creator>
  <cp:keywords/>
  <dc:description/>
  <cp:lastModifiedBy>Stuart O'Brien</cp:lastModifiedBy>
  <cp:revision>3</cp:revision>
  <dcterms:created xsi:type="dcterms:W3CDTF">2024-05-29T10:54:00Z</dcterms:created>
  <dcterms:modified xsi:type="dcterms:W3CDTF">2024-05-29T10:55:00Z</dcterms:modified>
</cp:coreProperties>
</file>